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E18D" w14:textId="77777777" w:rsidR="00EE41C9" w:rsidRDefault="00EE41C9" w:rsidP="00EE41C9">
      <w:pPr>
        <w:jc w:val="center"/>
        <w:rPr>
          <w:b/>
          <w:bCs/>
          <w:color w:val="2F5496"/>
          <w:sz w:val="28"/>
          <w:szCs w:val="28"/>
        </w:rPr>
      </w:pPr>
    </w:p>
    <w:p w14:paraId="575753DC" w14:textId="7FD68FD2" w:rsidR="00EE41C9" w:rsidRPr="00EE41C9" w:rsidRDefault="00EE41C9" w:rsidP="00EE41C9">
      <w:pPr>
        <w:jc w:val="center"/>
        <w:rPr>
          <w:sz w:val="28"/>
          <w:szCs w:val="28"/>
        </w:rPr>
      </w:pPr>
      <w:r w:rsidRPr="00634B41">
        <w:rPr>
          <w:b/>
          <w:bCs/>
          <w:color w:val="2F5496"/>
          <w:sz w:val="28"/>
          <w:szCs w:val="28"/>
        </w:rPr>
        <w:t>Empregos, salários e impacto social da carne bovina</w:t>
      </w:r>
    </w:p>
    <w:p w14:paraId="4C390905" w14:textId="77777777" w:rsidR="00EE41C9" w:rsidRPr="00256EF2" w:rsidRDefault="00EE41C9" w:rsidP="00EE41C9">
      <w:pPr>
        <w:jc w:val="center"/>
        <w:rPr>
          <w:rFonts w:cstheme="minorHAnsi"/>
          <w:b/>
          <w:bCs/>
          <w:i/>
          <w:iCs/>
          <w:color w:val="222A35" w:themeColor="text2" w:themeShade="80"/>
        </w:rPr>
      </w:pPr>
      <w:r>
        <w:rPr>
          <w:rFonts w:cstheme="minorHAnsi"/>
          <w:b/>
          <w:bCs/>
          <w:i/>
          <w:iCs/>
          <w:color w:val="222A35" w:themeColor="text2" w:themeShade="80"/>
        </w:rPr>
        <w:t xml:space="preserve">A produção de carne bovina movimenta 4,5 milhões de empregos no Brasil e, em 25 anos, suportou uma elevação nos custos quase duas vezes maior do que o aumento nos preços da carne aos consumidores </w:t>
      </w:r>
    </w:p>
    <w:p w14:paraId="431BE673" w14:textId="77777777" w:rsidR="00EE41C9" w:rsidRDefault="00EE41C9" w:rsidP="00EE41C9">
      <w:pPr>
        <w:rPr>
          <w:rFonts w:cstheme="minorHAnsi"/>
          <w:color w:val="222A35" w:themeColor="text2" w:themeShade="80"/>
        </w:rPr>
      </w:pPr>
      <w:bookmarkStart w:id="0" w:name="_Hlk39118562"/>
      <w:r>
        <w:rPr>
          <w:rFonts w:cstheme="minorHAnsi"/>
          <w:color w:val="222A35" w:themeColor="text2" w:themeShade="80"/>
        </w:rPr>
        <w:t xml:space="preserve"> </w:t>
      </w:r>
      <w:bookmarkEnd w:id="0"/>
    </w:p>
    <w:p w14:paraId="4E0B6B69" w14:textId="655874EE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Com base em indicadores e métricas de fazendas e operações frigoríficas, estima-se que cerca de 3,3 milhões de empregos estejam diretamente relacionados à produção, transporte e manipulação de carne bovina até sua chegada ao consumidor final. </w:t>
      </w:r>
    </w:p>
    <w:p w14:paraId="3B022C3B" w14:textId="0D8AC23B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O cálculo não envolve a quantidade de empregos gerados antes da porteira, ou seja, na produção e transporte de insumos e outros produtos de origem no agronegócio, como milho e subprodutos usados na nutrição animal. Nesses casos, os empregos serão contabilizados em outras cadeias produtivas, ainda que sejam gerados pela demanda na produção de carne bovina. </w:t>
      </w:r>
    </w:p>
    <w:p w14:paraId="6C2A56B7" w14:textId="1F49F6E6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Em 2019 o total dos empregos somou R$65 bilhões em salários, cerca de 11% do PIB da pecuária de corte, segundo estudo encomendado anualmente pela </w:t>
      </w:r>
      <w:proofErr w:type="spellStart"/>
      <w:r>
        <w:rPr>
          <w:rFonts w:cstheme="minorHAnsi"/>
          <w:color w:val="222A35" w:themeColor="text2" w:themeShade="80"/>
        </w:rPr>
        <w:t>Abiec</w:t>
      </w:r>
      <w:proofErr w:type="spellEnd"/>
      <w:r>
        <w:rPr>
          <w:rFonts w:cstheme="minorHAnsi"/>
          <w:color w:val="222A35" w:themeColor="text2" w:themeShade="80"/>
        </w:rPr>
        <w:t xml:space="preserve"> (Associação das Indústrias Exportadoras de Carne) e conduzido pela </w:t>
      </w:r>
      <w:proofErr w:type="spellStart"/>
      <w:r w:rsidRPr="00A876A0">
        <w:rPr>
          <w:rFonts w:cstheme="minorHAnsi"/>
          <w:b/>
          <w:bCs/>
          <w:color w:val="222A35" w:themeColor="text2" w:themeShade="80"/>
        </w:rPr>
        <w:t>Athenagro</w:t>
      </w:r>
      <w:proofErr w:type="spellEnd"/>
      <w:r>
        <w:rPr>
          <w:rFonts w:cstheme="minorHAnsi"/>
          <w:color w:val="222A35" w:themeColor="text2" w:themeShade="80"/>
        </w:rPr>
        <w:t xml:space="preserve">. </w:t>
      </w:r>
    </w:p>
    <w:p w14:paraId="4C94E70E" w14:textId="7391A87F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O resultado de todo o movimento financeiro, somado ao montante dos salários recebidos pelos trabalhadores do setor, teria gerado outros R$35 bilhões em salários aos empregos criados por efeito renda, segundo critério adaptado a partir de estudos de geração de empregos do </w:t>
      </w:r>
      <w:r w:rsidRPr="008A5339">
        <w:rPr>
          <w:rFonts w:cstheme="minorHAnsi"/>
          <w:color w:val="222A35" w:themeColor="text2" w:themeShade="80"/>
        </w:rPr>
        <w:t>BNDES</w:t>
      </w:r>
      <w:r>
        <w:rPr>
          <w:rFonts w:cstheme="minorHAnsi"/>
          <w:color w:val="222A35" w:themeColor="text2" w:themeShade="80"/>
        </w:rPr>
        <w:t xml:space="preserve"> (Banco Nacional do Desenvolvimento). A quantidade de empregos por efeito renda seria algo em torno de 1,2 milhão de postos de trabalho. </w:t>
      </w:r>
    </w:p>
    <w:p w14:paraId="10073E63" w14:textId="35FA1343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Em outras palavras, a produção de carne bovina, a partir das fazendas, é responsável pela manutenção de, no mínimo, 4,5 milhões de empregos.  </w:t>
      </w:r>
    </w:p>
    <w:p w14:paraId="38FEA9D7" w14:textId="55C1C662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Esse número, no entanto, pode ainda estar subestimado, visto que é difícil dimensionar a quantidade de mão de obra familiar distribuída nos cerca de 1,95 milhão de estabelecimentos pecuários com menos de 50 cabeças, segundo o censo de 2017 (IBGE).  </w:t>
      </w:r>
    </w:p>
    <w:p w14:paraId="011C499A" w14:textId="05E47DAA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Além da quantidade de empregos, a qualidade dos postos de trabalho vem melhorando com a modernização da produção. Enganam-se os que acreditam que a intensificação reduza os postos de trabalho. Baseiam-se no fato de que, em produtividades mais elevadas, a quantidade de animais por funcionário ocupado aumenta. O mesmo ocorre com a modernização de plantas frigoríficas. </w:t>
      </w:r>
    </w:p>
    <w:p w14:paraId="35405111" w14:textId="77777777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No entanto, a intensificação só ocorre com o aumento no uso de insumos. Além disso, o próprio resultado amplia a escala de produção na mesma área. Sendo assim, na prática, os empregos que seriam gerados, em situações de baixa tecnologia, passam a ser criados em outras atividades relacionadas, como indústrias, serviços, transportes, varejo e comércio.  Mesmo os empregos nas fazendas melhoram de qualidade. Propriedades com maior aporte de tecnologia demandarão maior qualificação do trabalhador, o que exige treinamento que será recompensado por salários mais elevados, quando comparados aos empregos de baixa qualificação. </w:t>
      </w:r>
    </w:p>
    <w:p w14:paraId="7F72D4E3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35881686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40AE1C94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775BC28A" w14:textId="728B35DA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É por essa razão que, ao analisar a geração de empregos em uma atividade, é fundamental avaliar o desempenho através do conceito de cadeia produtiva e não apenas pela produção agrícola isolada. Caso contrário, conclui-se equivocadamente que o aporte tecnológico seja inimigo do emprego. </w:t>
      </w:r>
    </w:p>
    <w:p w14:paraId="27DCCF19" w14:textId="619DCF19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A produção de carne bovina e a indústria do açúcar e álcool são sempre mal interpretadas do ponto de vista dos benefícios sociais, quando se fala em postos de trabalho. </w:t>
      </w:r>
    </w:p>
    <w:p w14:paraId="246CC2C9" w14:textId="7E1EE94A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No caso da pecuária, a alternativa para se evitar uma crise do ponto de vista social nos próximos anos é justamente focar as políticas agrícolas para o esforço em incorporar os descendentes de pequenos produtores em funções relacionadas à atividade, evitando assim o empobrecimento dos cidadãos que vivem no campo. </w:t>
      </w:r>
    </w:p>
    <w:p w14:paraId="7A4FB516" w14:textId="02E8BBB7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A pecuária moderna é viável em propriedades de pequenas áreas, desde que conduzidas com alta tecnologia. No entanto, para atingir níveis tecnológicos competitivos, os produtores precisam de recursos para investimentos e muita base técnica para conduzir uma atividade mais sofisticada e difícil de administrar. São exigências inacessíveis à grande maioria dos pequenos produtores de baixa tecnologia que estão no campo. </w:t>
      </w:r>
    </w:p>
    <w:p w14:paraId="466A1553" w14:textId="35760A76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>Além da geração dos empregos, há outros ganhos relacionados à produção de carne. Os benefícios sociais conquistados com o avanço tecnológico durante os últimos 25 anos são incontestáveis. Desde agosto de 1994, mês de implementação do plano Real, os custos para a produção de bovinos em uma propriedade aumentaram 1.200%, em valores nominais. No mesmo período, os preços recebidos pelos produtores</w:t>
      </w:r>
      <w:r w:rsidRPr="00F842A5">
        <w:rPr>
          <w:rFonts w:cstheme="minorHAnsi"/>
          <w:color w:val="222A35" w:themeColor="text2" w:themeShade="80"/>
        </w:rPr>
        <w:t xml:space="preserve"> aumentaram 760%.</w:t>
      </w:r>
      <w:r>
        <w:rPr>
          <w:rFonts w:cstheme="minorHAnsi"/>
          <w:color w:val="222A35" w:themeColor="text2" w:themeShade="80"/>
        </w:rPr>
        <w:t xml:space="preserve"> </w:t>
      </w:r>
    </w:p>
    <w:p w14:paraId="7CC9E400" w14:textId="0C7C2671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>Para sobreviver a essa queda nas margens, os pecuaristas aumentaram significativamente a produtividade. De 1994 a 2019 a quantidade de carcaça produzida por hectare aumentou 150%.</w:t>
      </w:r>
    </w:p>
    <w:p w14:paraId="7D868496" w14:textId="11DB71CE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O aumento de eficiência não aconteceu apenas nas fazendas. Os preços das carnes, recebidos pela indústria, aumentaram </w:t>
      </w:r>
      <w:r w:rsidRPr="00F842A5">
        <w:rPr>
          <w:rFonts w:cstheme="minorHAnsi"/>
          <w:color w:val="222A35" w:themeColor="text2" w:themeShade="80"/>
        </w:rPr>
        <w:t>750% no período</w:t>
      </w:r>
      <w:r>
        <w:rPr>
          <w:rFonts w:cstheme="minorHAnsi"/>
          <w:color w:val="222A35" w:themeColor="text2" w:themeShade="80"/>
        </w:rPr>
        <w:t>, 10 pontos porcentuais a menos do que o aumento no custo da matéria prima (boi e vaca). Parece pouco, mas é nesse período que a indústria mudou toda a forma de apresentação das carnes, incorporando custos com desossa, embalagens e serviços.</w:t>
      </w:r>
      <w:r w:rsidRPr="004C0526">
        <w:rPr>
          <w:rFonts w:cstheme="minorHAnsi"/>
          <w:color w:val="222A35" w:themeColor="text2" w:themeShade="80"/>
        </w:rPr>
        <w:t xml:space="preserve"> </w:t>
      </w:r>
    </w:p>
    <w:p w14:paraId="15695224" w14:textId="2AA99A85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>Houve investimento em plantas modernas, melhoria no transporte, adaptação às exigências trabalhistas e ambientais, melhoria nos protocolos de controle de qualidade e, claro, o consequente aumento de custos da operação de abate. Os frigoríficos também perderam margens.</w:t>
      </w:r>
    </w:p>
    <w:p w14:paraId="606EC886" w14:textId="47999A03" w:rsidR="00EE41C9" w:rsidRDefault="00EE41C9" w:rsidP="00EE41C9">
      <w:pPr>
        <w:rPr>
          <w:rFonts w:cstheme="minorHAnsi"/>
          <w:color w:val="222A35" w:themeColor="text2" w:themeShade="80"/>
        </w:rPr>
      </w:pPr>
      <w:r w:rsidRPr="00F842A5">
        <w:rPr>
          <w:rFonts w:cstheme="minorHAnsi"/>
          <w:color w:val="222A35" w:themeColor="text2" w:themeShade="80"/>
        </w:rPr>
        <w:t>O preço pago pelos consumidores, no mesmo período, aumentou 770%. Não fosse a mudança nos hábitos de compra, que ocasionou o agigantamento das redes de supermercados, o consumidor poderia ter colhido ganhos ainda maiores</w:t>
      </w:r>
      <w:r>
        <w:rPr>
          <w:rFonts w:cstheme="minorHAnsi"/>
          <w:color w:val="222A35" w:themeColor="text2" w:themeShade="80"/>
        </w:rPr>
        <w:t>. P</w:t>
      </w:r>
      <w:r w:rsidRPr="00F842A5">
        <w:rPr>
          <w:rFonts w:cstheme="minorHAnsi"/>
          <w:color w:val="222A35" w:themeColor="text2" w:themeShade="80"/>
        </w:rPr>
        <w:t xml:space="preserve">arte desses ganhos foram incorporados </w:t>
      </w:r>
      <w:r>
        <w:rPr>
          <w:rFonts w:cstheme="minorHAnsi"/>
          <w:color w:val="222A35" w:themeColor="text2" w:themeShade="80"/>
        </w:rPr>
        <w:t>pelo</w:t>
      </w:r>
      <w:r w:rsidRPr="00F842A5">
        <w:rPr>
          <w:rFonts w:cstheme="minorHAnsi"/>
          <w:color w:val="222A35" w:themeColor="text2" w:themeShade="80"/>
        </w:rPr>
        <w:t xml:space="preserve"> setor varejista</w:t>
      </w:r>
      <w:r>
        <w:rPr>
          <w:rFonts w:cstheme="minorHAnsi"/>
          <w:color w:val="222A35" w:themeColor="text2" w:themeShade="80"/>
        </w:rPr>
        <w:t xml:space="preserve">, que implementaram mudanças nas estratégias de comercialização com agregação de valor e consequente aumento no </w:t>
      </w:r>
      <w:proofErr w:type="spellStart"/>
      <w:r>
        <w:rPr>
          <w:rFonts w:cstheme="minorHAnsi"/>
          <w:color w:val="222A35" w:themeColor="text2" w:themeShade="80"/>
        </w:rPr>
        <w:t>mark´up</w:t>
      </w:r>
      <w:proofErr w:type="spellEnd"/>
      <w:r>
        <w:rPr>
          <w:rFonts w:cstheme="minorHAnsi"/>
          <w:color w:val="222A35" w:themeColor="text2" w:themeShade="80"/>
        </w:rPr>
        <w:t xml:space="preserve"> de vendas de carnes</w:t>
      </w:r>
      <w:r w:rsidRPr="00F842A5">
        <w:rPr>
          <w:rFonts w:cstheme="minorHAnsi"/>
          <w:color w:val="222A35" w:themeColor="text2" w:themeShade="80"/>
        </w:rPr>
        <w:t>.</w:t>
      </w:r>
      <w:r>
        <w:rPr>
          <w:rFonts w:cstheme="minorHAnsi"/>
          <w:color w:val="222A35" w:themeColor="text2" w:themeShade="80"/>
        </w:rPr>
        <w:t xml:space="preserve"> </w:t>
      </w:r>
    </w:p>
    <w:p w14:paraId="150F994B" w14:textId="77777777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Nesse mesmo período as exportações saíram de praticamente nada - cerca de 170 mil toneladas por ano - para as atuais 2,5 milhões de toneladas de equivalente carcaça, com um aumento de 14 mil vezes na quantidade embarcada para exportações. </w:t>
      </w:r>
    </w:p>
    <w:p w14:paraId="12789935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6BCFCB2F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379A3A41" w14:textId="6AB639AE" w:rsidR="00EE41C9" w:rsidRDefault="00EE41C9" w:rsidP="00EE41C9">
      <w:pPr>
        <w:rPr>
          <w:rFonts w:cstheme="minorHAnsi"/>
          <w:color w:val="222A35" w:themeColor="text2" w:themeShade="80"/>
        </w:rPr>
      </w:pPr>
      <w:bookmarkStart w:id="1" w:name="_GoBack"/>
      <w:bookmarkEnd w:id="1"/>
      <w:r>
        <w:rPr>
          <w:rFonts w:cstheme="minorHAnsi"/>
          <w:color w:val="222A35" w:themeColor="text2" w:themeShade="80"/>
        </w:rPr>
        <w:t xml:space="preserve">Exportações, modernização da cadeia produtiva e incremento tecnológico na produção garantem ganhos sociais para a população brasileira. Os resultados são incontestáveis. </w:t>
      </w:r>
    </w:p>
    <w:p w14:paraId="32B9ABB4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17FCD4EF" w14:textId="77777777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Por </w:t>
      </w:r>
      <w:r w:rsidRPr="000E1031">
        <w:rPr>
          <w:rFonts w:cstheme="minorHAnsi"/>
          <w:b/>
          <w:color w:val="222A35" w:themeColor="text2" w:themeShade="80"/>
        </w:rPr>
        <w:t>Maurício Palma Nogueira</w:t>
      </w:r>
      <w:r w:rsidRPr="001C2112">
        <w:rPr>
          <w:rFonts w:cstheme="minorHAnsi"/>
          <w:color w:val="222A35" w:themeColor="text2" w:themeShade="80"/>
        </w:rPr>
        <w:t>,</w:t>
      </w:r>
      <w:r>
        <w:rPr>
          <w:rFonts w:cstheme="minorHAnsi"/>
          <w:color w:val="222A35" w:themeColor="text2" w:themeShade="80"/>
        </w:rPr>
        <w:t xml:space="preserve"> engenheiro agrônomo e</w:t>
      </w:r>
      <w:r w:rsidRPr="001C2112">
        <w:rPr>
          <w:rFonts w:cstheme="minorHAnsi"/>
          <w:color w:val="222A35" w:themeColor="text2" w:themeShade="80"/>
        </w:rPr>
        <w:t xml:space="preserve"> </w:t>
      </w:r>
      <w:r>
        <w:rPr>
          <w:rFonts w:cstheme="minorHAnsi"/>
          <w:color w:val="222A35" w:themeColor="text2" w:themeShade="80"/>
        </w:rPr>
        <w:t>diretor</w:t>
      </w:r>
      <w:r w:rsidRPr="001C2112">
        <w:rPr>
          <w:rFonts w:cstheme="minorHAnsi"/>
          <w:color w:val="222A35" w:themeColor="text2" w:themeShade="80"/>
        </w:rPr>
        <w:t xml:space="preserve"> </w:t>
      </w:r>
      <w:r>
        <w:rPr>
          <w:rFonts w:cstheme="minorHAnsi"/>
          <w:color w:val="222A35" w:themeColor="text2" w:themeShade="80"/>
        </w:rPr>
        <w:t xml:space="preserve">da </w:t>
      </w:r>
      <w:proofErr w:type="spellStart"/>
      <w:r w:rsidRPr="00C7389C">
        <w:rPr>
          <w:rFonts w:cstheme="minorHAnsi"/>
          <w:b/>
          <w:bCs/>
          <w:color w:val="222A35" w:themeColor="text2" w:themeShade="80"/>
        </w:rPr>
        <w:t>Athenagro</w:t>
      </w:r>
      <w:proofErr w:type="spellEnd"/>
      <w:r>
        <w:rPr>
          <w:rFonts w:cstheme="minorHAnsi"/>
          <w:color w:val="222A35" w:themeColor="text2" w:themeShade="80"/>
        </w:rPr>
        <w:t xml:space="preserve"> e coordenador do Rally da Pecuária </w:t>
      </w:r>
    </w:p>
    <w:p w14:paraId="5981A5AC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5DBD90F3" w14:textId="77777777" w:rsidR="00EE41C9" w:rsidRDefault="00EE41C9" w:rsidP="00EE41C9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Dados: </w:t>
      </w:r>
    </w:p>
    <w:p w14:paraId="4C6E8F78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4882DC97" w14:textId="77777777" w:rsidR="00EE41C9" w:rsidRDefault="00EE41C9" w:rsidP="00EE41C9">
      <w:pPr>
        <w:rPr>
          <w:rFonts w:cstheme="minorHAnsi"/>
          <w:color w:val="222A35" w:themeColor="text2" w:themeShade="80"/>
        </w:rPr>
      </w:pPr>
      <w:r w:rsidRPr="0054411A">
        <w:rPr>
          <w:noProof/>
        </w:rPr>
        <w:drawing>
          <wp:inline distT="0" distB="0" distL="0" distR="0" wp14:anchorId="684C239D" wp14:editId="4BFF2450">
            <wp:extent cx="5445456" cy="3071134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37" cy="307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55935" w14:textId="77777777" w:rsidR="00EE41C9" w:rsidRDefault="00EE41C9" w:rsidP="00EE41C9">
      <w:pPr>
        <w:rPr>
          <w:rFonts w:cstheme="minorHAnsi"/>
          <w:color w:val="222A35" w:themeColor="text2" w:themeShade="80"/>
        </w:rPr>
      </w:pPr>
    </w:p>
    <w:p w14:paraId="7C9AC3DC" w14:textId="55A16B56" w:rsidR="00FC1D0F" w:rsidRPr="00BD79D2" w:rsidRDefault="00FC1D0F" w:rsidP="00EE41C9">
      <w:pPr>
        <w:pStyle w:val="Assinatura"/>
        <w:ind w:left="0"/>
        <w:rPr>
          <w:color w:val="000000" w:themeColor="text1"/>
        </w:rPr>
      </w:pPr>
    </w:p>
    <w:p w14:paraId="0FC68F38" w14:textId="77777777" w:rsidR="00F80E88" w:rsidRPr="00FC1D0F" w:rsidRDefault="00F80E88">
      <w:pPr>
        <w:rPr>
          <w:lang w:val="pt-PT"/>
        </w:rPr>
      </w:pPr>
    </w:p>
    <w:sectPr w:rsidR="00F80E88" w:rsidRPr="00FC1D0F" w:rsidSect="00FD5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2FBB" w14:textId="77777777" w:rsidR="000B4A32" w:rsidRDefault="000B4A32" w:rsidP="00FC1D0F">
      <w:pPr>
        <w:spacing w:after="0" w:line="240" w:lineRule="auto"/>
      </w:pPr>
      <w:r>
        <w:separator/>
      </w:r>
    </w:p>
  </w:endnote>
  <w:endnote w:type="continuationSeparator" w:id="0">
    <w:p w14:paraId="3560D57F" w14:textId="77777777" w:rsidR="000B4A32" w:rsidRDefault="000B4A32" w:rsidP="00FC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8254" w14:textId="77777777" w:rsidR="00B87D7A" w:rsidRDefault="00B87D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4132" w14:textId="3E46CF73" w:rsidR="00FC1D0F" w:rsidRDefault="00FC1D0F" w:rsidP="00FC1D0F">
    <w:pPr>
      <w:pStyle w:val="Rodap"/>
      <w:ind w:left="-1701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D913463" wp14:editId="5459C3CD">
          <wp:simplePos x="0" y="0"/>
          <wp:positionH relativeFrom="page">
            <wp:posOffset>546570</wp:posOffset>
          </wp:positionH>
          <wp:positionV relativeFrom="paragraph">
            <wp:posOffset>-405765</wp:posOffset>
          </wp:positionV>
          <wp:extent cx="6465899" cy="599418"/>
          <wp:effectExtent l="0" t="0" r="0" b="0"/>
          <wp:wrapNone/>
          <wp:docPr id="364" name="Imagem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apel Timbrado PART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899" cy="59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A67B" w14:textId="77777777" w:rsidR="00B87D7A" w:rsidRDefault="00B87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3592" w14:textId="77777777" w:rsidR="000B4A32" w:rsidRDefault="000B4A32" w:rsidP="00FC1D0F">
      <w:pPr>
        <w:spacing w:after="0" w:line="240" w:lineRule="auto"/>
      </w:pPr>
      <w:r>
        <w:separator/>
      </w:r>
    </w:p>
  </w:footnote>
  <w:footnote w:type="continuationSeparator" w:id="0">
    <w:p w14:paraId="4240E0C3" w14:textId="77777777" w:rsidR="000B4A32" w:rsidRDefault="000B4A32" w:rsidP="00FC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D1B8" w14:textId="77777777" w:rsidR="00B87D7A" w:rsidRDefault="00B87D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43F6" w14:textId="0D649FEE" w:rsidR="00FC1D0F" w:rsidRDefault="001F624B" w:rsidP="00FC1D0F">
    <w:pPr>
      <w:pStyle w:val="Cabealho"/>
      <w:ind w:left="-141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6A41E1" wp14:editId="1214B417">
          <wp:simplePos x="0" y="0"/>
          <wp:positionH relativeFrom="page">
            <wp:posOffset>133350</wp:posOffset>
          </wp:positionH>
          <wp:positionV relativeFrom="paragraph">
            <wp:posOffset>-132715</wp:posOffset>
          </wp:positionV>
          <wp:extent cx="7504430" cy="10629900"/>
          <wp:effectExtent l="0" t="0" r="1270" b="0"/>
          <wp:wrapNone/>
          <wp:docPr id="361" name="Imagem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t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6F3">
      <w:rPr>
        <w:noProof/>
      </w:rPr>
      <w:drawing>
        <wp:anchor distT="0" distB="0" distL="114300" distR="114300" simplePos="0" relativeHeight="251659264" behindDoc="0" locked="0" layoutInCell="1" allowOverlap="1" wp14:anchorId="51EC9A8D" wp14:editId="6318434F">
          <wp:simplePos x="0" y="0"/>
          <wp:positionH relativeFrom="column">
            <wp:posOffset>-824865</wp:posOffset>
          </wp:positionH>
          <wp:positionV relativeFrom="paragraph">
            <wp:posOffset>28960</wp:posOffset>
          </wp:positionV>
          <wp:extent cx="2426063" cy="922136"/>
          <wp:effectExtent l="0" t="0" r="0" b="0"/>
          <wp:wrapNone/>
          <wp:docPr id="362" name="Imagem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PARTS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063" cy="922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D0F">
      <w:rPr>
        <w:noProof/>
      </w:rPr>
      <w:drawing>
        <wp:anchor distT="0" distB="0" distL="114300" distR="114300" simplePos="0" relativeHeight="251658240" behindDoc="1" locked="0" layoutInCell="1" allowOverlap="1" wp14:anchorId="6CBFA76E" wp14:editId="1576A980">
          <wp:simplePos x="0" y="0"/>
          <wp:positionH relativeFrom="page">
            <wp:align>left</wp:align>
          </wp:positionH>
          <wp:positionV relativeFrom="paragraph">
            <wp:posOffset>-165371</wp:posOffset>
          </wp:positionV>
          <wp:extent cx="7577143" cy="6235908"/>
          <wp:effectExtent l="0" t="0" r="5080" b="0"/>
          <wp:wrapNone/>
          <wp:docPr id="363" name="Imagem 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" name="Papel Timbrado PARTS-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43" cy="6235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9C8F" w14:textId="77777777" w:rsidR="00B87D7A" w:rsidRDefault="00B87D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0F"/>
    <w:rsid w:val="000B4A32"/>
    <w:rsid w:val="001C675F"/>
    <w:rsid w:val="001F624B"/>
    <w:rsid w:val="00211551"/>
    <w:rsid w:val="002C1B9E"/>
    <w:rsid w:val="003A182F"/>
    <w:rsid w:val="00537E93"/>
    <w:rsid w:val="005A1091"/>
    <w:rsid w:val="00802261"/>
    <w:rsid w:val="00933D57"/>
    <w:rsid w:val="00B31767"/>
    <w:rsid w:val="00B87D7A"/>
    <w:rsid w:val="00BB1D49"/>
    <w:rsid w:val="00DD67BE"/>
    <w:rsid w:val="00DE06F3"/>
    <w:rsid w:val="00E61945"/>
    <w:rsid w:val="00EE41C9"/>
    <w:rsid w:val="00F80E88"/>
    <w:rsid w:val="00FC1D0F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D63C"/>
  <w15:chartTrackingRefBased/>
  <w15:docId w15:val="{620B1739-AF49-48A1-B0B7-81D5EF2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D0F"/>
  </w:style>
  <w:style w:type="paragraph" w:styleId="Rodap">
    <w:name w:val="footer"/>
    <w:basedOn w:val="Normal"/>
    <w:link w:val="RodapChar"/>
    <w:uiPriority w:val="99"/>
    <w:unhideWhenUsed/>
    <w:rsid w:val="00FC1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D0F"/>
  </w:style>
  <w:style w:type="paragraph" w:customStyle="1" w:styleId="Destinatrio1">
    <w:name w:val="Destinatário1"/>
    <w:basedOn w:val="Normal"/>
    <w:uiPriority w:val="3"/>
    <w:qFormat/>
    <w:rsid w:val="00FC1D0F"/>
    <w:pPr>
      <w:spacing w:before="840" w:after="40" w:line="240" w:lineRule="auto"/>
      <w:ind w:left="720" w:right="720"/>
    </w:pPr>
    <w:rPr>
      <w:b/>
      <w:bCs/>
      <w:color w:val="000000" w:themeColor="text1"/>
      <w:kern w:val="20"/>
      <w:sz w:val="24"/>
      <w:szCs w:val="20"/>
      <w:lang w:val="pt-PT" w:eastAsia="ja-JP"/>
    </w:rPr>
  </w:style>
  <w:style w:type="paragraph" w:styleId="Saudao">
    <w:name w:val="Salutation"/>
    <w:basedOn w:val="Normal"/>
    <w:link w:val="SaudaoChar"/>
    <w:uiPriority w:val="4"/>
    <w:unhideWhenUsed/>
    <w:qFormat/>
    <w:rsid w:val="00FC1D0F"/>
    <w:pPr>
      <w:spacing w:before="72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pt-PT" w:eastAsia="ja-JP"/>
    </w:rPr>
  </w:style>
  <w:style w:type="character" w:customStyle="1" w:styleId="SaudaoChar">
    <w:name w:val="Saudação Char"/>
    <w:basedOn w:val="Fontepargpadro"/>
    <w:link w:val="Saudao"/>
    <w:uiPriority w:val="4"/>
    <w:rsid w:val="00FC1D0F"/>
    <w:rPr>
      <w:color w:val="595959" w:themeColor="text1" w:themeTint="A6"/>
      <w:kern w:val="20"/>
      <w:sz w:val="24"/>
      <w:szCs w:val="20"/>
      <w:lang w:val="pt-PT" w:eastAsia="ja-JP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FC1D0F"/>
    <w:pPr>
      <w:spacing w:before="480" w:after="960" w:line="240" w:lineRule="auto"/>
      <w:ind w:left="720" w:right="720"/>
    </w:pPr>
    <w:rPr>
      <w:color w:val="595959" w:themeColor="text1" w:themeTint="A6"/>
      <w:kern w:val="20"/>
      <w:sz w:val="24"/>
      <w:szCs w:val="20"/>
      <w:lang w:val="pt-PT" w:eastAsia="ja-JP"/>
    </w:rPr>
  </w:style>
  <w:style w:type="character" w:customStyle="1" w:styleId="EncerramentoChar">
    <w:name w:val="Encerramento Char"/>
    <w:basedOn w:val="Fontepargpadro"/>
    <w:link w:val="Encerramento"/>
    <w:uiPriority w:val="6"/>
    <w:rsid w:val="00FC1D0F"/>
    <w:rPr>
      <w:color w:val="595959" w:themeColor="text1" w:themeTint="A6"/>
      <w:kern w:val="20"/>
      <w:sz w:val="24"/>
      <w:szCs w:val="20"/>
      <w:lang w:val="pt-PT" w:eastAsia="ja-JP"/>
    </w:rPr>
  </w:style>
  <w:style w:type="paragraph" w:styleId="Assinatura">
    <w:name w:val="Signature"/>
    <w:basedOn w:val="Normal"/>
    <w:link w:val="AssinaturaChar"/>
    <w:uiPriority w:val="7"/>
    <w:unhideWhenUsed/>
    <w:qFormat/>
    <w:rsid w:val="00FC1D0F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val="pt-PT" w:eastAsia="ja-JP"/>
    </w:rPr>
  </w:style>
  <w:style w:type="character" w:customStyle="1" w:styleId="AssinaturaChar">
    <w:name w:val="Assinatura Char"/>
    <w:basedOn w:val="Fontepargpadro"/>
    <w:link w:val="Assinatura"/>
    <w:uiPriority w:val="7"/>
    <w:rsid w:val="00FC1D0F"/>
    <w:rPr>
      <w:b/>
      <w:bCs/>
      <w:color w:val="4472C4" w:themeColor="accent1"/>
      <w:kern w:val="20"/>
      <w:sz w:val="24"/>
      <w:szCs w:val="20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d51d4-784d-4236-ae06-78000d879e26">HEFREP5AUAEX-1451377845-69819</_dlc_DocId>
    <_dlc_DocIdUrl xmlns="f9fd51d4-784d-4236-ae06-78000d879e26">
      <Url>https://abiecbr.sharepoint.com/sites/Marketing/_layouts/15/DocIdRedir.aspx?ID=HEFREP5AUAEX-1451377845-69819</Url>
      <Description>HEFREP5AUAEX-1451377845-69819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4F7D25784C1B48816048B83A68C60B" ma:contentTypeVersion="215" ma:contentTypeDescription="Crie um novo documento." ma:contentTypeScope="" ma:versionID="4f6cfafa5e828f676610fef02aa8ddf0">
  <xsd:schema xmlns:xsd="http://www.w3.org/2001/XMLSchema" xmlns:xs="http://www.w3.org/2001/XMLSchema" xmlns:p="http://schemas.microsoft.com/office/2006/metadata/properties" xmlns:ns2="f9fd51d4-784d-4236-ae06-78000d879e26" xmlns:ns3="20ca742b-9115-42f9-a6d9-c8e41cf51c27" targetNamespace="http://schemas.microsoft.com/office/2006/metadata/properties" ma:root="true" ma:fieldsID="9b30ff876c34c001d637f3f92b02df9c" ns2:_="" ns3:_="">
    <xsd:import namespace="f9fd51d4-784d-4236-ae06-78000d879e26"/>
    <xsd:import namespace="20ca742b-9115-42f9-a6d9-c8e41cf51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51d4-784d-4236-ae06-78000d879e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a742b-9115-42f9-a6d9-c8e41cf5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E934-B941-4106-BBCB-665EF7D99B28}">
  <ds:schemaRefs>
    <ds:schemaRef ds:uri="http://schemas.microsoft.com/office/2006/metadata/properties"/>
    <ds:schemaRef ds:uri="http://schemas.microsoft.com/office/infopath/2007/PartnerControls"/>
    <ds:schemaRef ds:uri="f9fd51d4-784d-4236-ae06-78000d879e26"/>
  </ds:schemaRefs>
</ds:datastoreItem>
</file>

<file path=customXml/itemProps2.xml><?xml version="1.0" encoding="utf-8"?>
<ds:datastoreItem xmlns:ds="http://schemas.openxmlformats.org/officeDocument/2006/customXml" ds:itemID="{0EE5010C-86FC-4A51-8C08-DFD0EE50F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51d4-784d-4236-ae06-78000d879e26"/>
    <ds:schemaRef ds:uri="20ca742b-9115-42f9-a6d9-c8e41cf5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7B0CF-79AA-4C98-B289-542D46B803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52E53-1AFE-4FA2-9D5C-F467C80B1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Toller</dc:creator>
  <cp:keywords/>
  <dc:description/>
  <cp:lastModifiedBy>Comunicação ABIEC</cp:lastModifiedBy>
  <cp:revision>2</cp:revision>
  <dcterms:created xsi:type="dcterms:W3CDTF">2020-05-11T14:52:00Z</dcterms:created>
  <dcterms:modified xsi:type="dcterms:W3CDTF">2020-05-11T14:52:00Z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0x010100F44F7D25784C1B48816048B83A68C60B</vt:lpwstr>
  </property>
  <property fmtid="{D5CDD505-2E9C-101B-9397-08002B2CF9AE}" pid="3" name="_dlc_DocIdItemGuid">
    <vt:lpwstr>f1070947-71ae-4371-aedc-2332a82a4ac0</vt:lpwstr>
  </property>
</Properties>
</file>